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5566" w14:textId="77777777" w:rsidR="00F86375" w:rsidRDefault="00F86375" w:rsidP="00F8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2CE82C" w14:textId="77777777" w:rsidR="00F86375" w:rsidRPr="008D33DB" w:rsidRDefault="00F86375" w:rsidP="008D33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  <w:r w:rsidRPr="008D33DB"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  <w:t>Minuta de convite à apresentação de propostas</w:t>
      </w:r>
    </w:p>
    <w:p w14:paraId="19D3A9B7" w14:textId="77777777" w:rsidR="00F86375" w:rsidRDefault="00F86375" w:rsidP="00F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2A121" w14:textId="77777777" w:rsidR="008D33DB" w:rsidRDefault="008D33DB" w:rsidP="00F863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38C4C0D" w14:textId="77777777" w:rsidR="008D33DB" w:rsidRDefault="008D33DB" w:rsidP="00F863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84E5921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Referência: [...] </w:t>
      </w:r>
    </w:p>
    <w:p w14:paraId="40BE08A0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Data: DD/MM/AA </w:t>
      </w:r>
    </w:p>
    <w:p w14:paraId="555DC075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AD3CA5" w14:textId="56250FFE" w:rsidR="00F86375" w:rsidRPr="00384675" w:rsidRDefault="00F86375" w:rsidP="00384675">
      <w:pPr>
        <w:pStyle w:val="Default"/>
        <w:widowControl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280F">
        <w:rPr>
          <w:rFonts w:ascii="Arial" w:hAnsi="Arial" w:cs="Arial"/>
          <w:sz w:val="20"/>
          <w:szCs w:val="20"/>
        </w:rPr>
        <w:t xml:space="preserve">Aquisição de </w:t>
      </w:r>
      <w:r w:rsidR="008D33DB" w:rsidRPr="0077280F">
        <w:rPr>
          <w:rFonts w:ascii="Arial" w:hAnsi="Arial" w:cs="Arial"/>
          <w:sz w:val="20"/>
          <w:szCs w:val="20"/>
        </w:rPr>
        <w:t>___</w:t>
      </w:r>
      <w:r w:rsidR="0077280F">
        <w:rPr>
          <w:rFonts w:ascii="Arial" w:hAnsi="Arial" w:cs="Arial"/>
          <w:sz w:val="20"/>
          <w:szCs w:val="20"/>
        </w:rPr>
        <w:t>_____________</w:t>
      </w:r>
      <w:r w:rsidR="008D33DB" w:rsidRPr="0077280F">
        <w:rPr>
          <w:rFonts w:ascii="Arial" w:hAnsi="Arial" w:cs="Arial"/>
          <w:sz w:val="20"/>
          <w:szCs w:val="20"/>
        </w:rPr>
        <w:t xml:space="preserve"> a que corresponde o lote __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indicação do l</w:t>
      </w:r>
      <w:r w:rsidR="008D33DB"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ote ou lotes pretendidos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sz w:val="20"/>
          <w:szCs w:val="20"/>
        </w:rPr>
        <w:t xml:space="preserve"> ao abrigo do Acordo</w:t>
      </w:r>
      <w:r w:rsidR="0077280F">
        <w:rPr>
          <w:rFonts w:ascii="Arial" w:hAnsi="Arial" w:cs="Arial"/>
          <w:sz w:val="20"/>
          <w:szCs w:val="20"/>
        </w:rPr>
        <w:t>-</w:t>
      </w:r>
      <w:r w:rsidRPr="0077280F">
        <w:rPr>
          <w:rFonts w:ascii="Arial" w:hAnsi="Arial" w:cs="Arial"/>
          <w:sz w:val="20"/>
          <w:szCs w:val="20"/>
        </w:rPr>
        <w:t xml:space="preserve">Quadro </w:t>
      </w:r>
      <w:r w:rsidR="00384675" w:rsidRPr="00384675">
        <w:rPr>
          <w:rFonts w:ascii="Arial" w:eastAsiaTheme="minorHAnsi" w:hAnsi="Arial" w:cs="Arial"/>
          <w:sz w:val="20"/>
          <w:szCs w:val="20"/>
        </w:rPr>
        <w:t>para a prestação de serviços</w:t>
      </w:r>
      <w:r w:rsidR="00384675">
        <w:rPr>
          <w:rFonts w:ascii="Arial" w:eastAsiaTheme="minorHAnsi" w:hAnsi="Arial" w:cs="Arial"/>
          <w:sz w:val="20"/>
          <w:szCs w:val="20"/>
        </w:rPr>
        <w:t xml:space="preserve"> </w:t>
      </w:r>
      <w:r w:rsidR="00384675" w:rsidRPr="00384675">
        <w:rPr>
          <w:rFonts w:ascii="Arial" w:hAnsi="Arial" w:cs="Arial"/>
          <w:sz w:val="20"/>
          <w:szCs w:val="20"/>
        </w:rPr>
        <w:t>e fornecimento de consumíveis de higiene e limpeza</w:t>
      </w:r>
      <w:r w:rsidR="0077280F">
        <w:rPr>
          <w:rFonts w:ascii="Arial" w:hAnsi="Arial" w:cs="Arial"/>
          <w:sz w:val="20"/>
          <w:szCs w:val="20"/>
        </w:rPr>
        <w:t>, realizado pela Central de Compras da Comunidade Intermunicipal d</w:t>
      </w:r>
      <w:r w:rsidR="0007212D">
        <w:rPr>
          <w:rFonts w:ascii="Arial" w:hAnsi="Arial" w:cs="Arial"/>
          <w:sz w:val="20"/>
          <w:szCs w:val="20"/>
        </w:rPr>
        <w:t>o Algarve</w:t>
      </w:r>
      <w:r w:rsidRPr="0077280F">
        <w:rPr>
          <w:rFonts w:ascii="Arial" w:hAnsi="Arial" w:cs="Arial"/>
          <w:sz w:val="20"/>
          <w:szCs w:val="20"/>
        </w:rPr>
        <w:t xml:space="preserve">. </w:t>
      </w:r>
    </w:p>
    <w:p w14:paraId="0576A302" w14:textId="77777777" w:rsidR="00384675" w:rsidRDefault="003846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FC4E3E" w14:textId="64EE4955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2AB98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I – ENTIDADE ADJUDICANTE </w:t>
      </w:r>
    </w:p>
    <w:p w14:paraId="388D9E7E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A entidade adjudicante é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>_______________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designação da entidade adjudicante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>,</w:t>
      </w:r>
      <w:r w:rsidR="0077280F">
        <w:rPr>
          <w:rFonts w:ascii="Arial" w:hAnsi="Arial" w:cs="Arial"/>
          <w:color w:val="000000"/>
          <w:sz w:val="20"/>
          <w:szCs w:val="20"/>
        </w:rPr>
        <w:t xml:space="preserve"> pessoa </w:t>
      </w:r>
      <w:proofErr w:type="spellStart"/>
      <w:r w:rsidR="0077280F">
        <w:rPr>
          <w:rFonts w:ascii="Arial" w:hAnsi="Arial" w:cs="Arial"/>
          <w:color w:val="000000"/>
          <w:sz w:val="20"/>
          <w:szCs w:val="20"/>
        </w:rPr>
        <w:t>coletiva</w:t>
      </w:r>
      <w:proofErr w:type="spellEnd"/>
      <w:r w:rsidR="0077280F">
        <w:rPr>
          <w:rFonts w:ascii="Arial" w:hAnsi="Arial" w:cs="Arial"/>
          <w:color w:val="000000"/>
          <w:sz w:val="20"/>
          <w:szCs w:val="20"/>
        </w:rPr>
        <w:t xml:space="preserve"> número _____________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0F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77280F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NIPC</w:t>
      </w:r>
      <w:r w:rsidR="0077280F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280F" w:rsidRPr="0077280F">
        <w:rPr>
          <w:rFonts w:ascii="Arial" w:hAnsi="Arial" w:cs="Arial"/>
          <w:sz w:val="20"/>
          <w:szCs w:val="20"/>
        </w:rPr>
        <w:t xml:space="preserve">, </w:t>
      </w:r>
      <w:r w:rsidR="0077280F" w:rsidRPr="0077280F">
        <w:rPr>
          <w:rFonts w:ascii="Arial" w:hAnsi="Arial" w:cs="Arial"/>
          <w:color w:val="000000"/>
          <w:sz w:val="20"/>
          <w:szCs w:val="20"/>
        </w:rPr>
        <w:t xml:space="preserve">com sede na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__________________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[indicar endereço]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com os </w:t>
      </w:r>
      <w:r w:rsidR="0077280F">
        <w:rPr>
          <w:rFonts w:ascii="Arial" w:hAnsi="Arial" w:cs="Arial"/>
          <w:color w:val="000000"/>
          <w:sz w:val="20"/>
          <w:szCs w:val="20"/>
        </w:rPr>
        <w:t xml:space="preserve">seguintes contactos para efeitos do presente procedimento: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números de telefone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n.º de telefone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gramStart"/>
      <w:r w:rsidRPr="0077280F">
        <w:rPr>
          <w:rFonts w:ascii="Arial" w:hAnsi="Arial" w:cs="Arial"/>
          <w:color w:val="000000"/>
          <w:sz w:val="20"/>
          <w:szCs w:val="20"/>
        </w:rPr>
        <w:t>fax</w:t>
      </w:r>
      <w:proofErr w:type="gramEnd"/>
      <w:r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n.º de fax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e com o endereço de correio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eletrónico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____@_____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D33DB"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endereço de correio </w:t>
      </w:r>
      <w:proofErr w:type="spellStart"/>
      <w:r w:rsidR="008D33DB" w:rsidRPr="0077280F">
        <w:rPr>
          <w:rFonts w:ascii="Arial" w:hAnsi="Arial" w:cs="Arial"/>
          <w:i/>
          <w:color w:val="548DD4" w:themeColor="text2" w:themeTint="99"/>
          <w:sz w:val="20"/>
          <w:szCs w:val="20"/>
        </w:rPr>
        <w:t>eletrónico</w:t>
      </w:r>
      <w:proofErr w:type="spellEnd"/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C060B10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E333A2" w14:textId="77777777" w:rsidR="008D33DB" w:rsidRPr="0077280F" w:rsidRDefault="008D33D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40D159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II – DECISÃO DE CONTRATAR </w:t>
      </w:r>
    </w:p>
    <w:p w14:paraId="6AAC3B24" w14:textId="77777777" w:rsidR="00EB58CF" w:rsidRPr="0077280F" w:rsidRDefault="008D33D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>A decisão/</w:t>
      </w:r>
      <w:r w:rsidR="00F86375" w:rsidRPr="0077280F">
        <w:rPr>
          <w:rFonts w:ascii="Arial" w:hAnsi="Arial" w:cs="Arial"/>
          <w:color w:val="000000"/>
          <w:sz w:val="20"/>
          <w:szCs w:val="20"/>
        </w:rPr>
        <w:t xml:space="preserve">deliberação de contratar foi </w:t>
      </w:r>
      <w:proofErr w:type="spellStart"/>
      <w:r w:rsidR="00F86375" w:rsidRPr="0077280F">
        <w:rPr>
          <w:rFonts w:ascii="Arial" w:hAnsi="Arial" w:cs="Arial"/>
          <w:color w:val="000000"/>
          <w:sz w:val="20"/>
          <w:szCs w:val="20"/>
        </w:rPr>
        <w:t>adotada</w:t>
      </w:r>
      <w:proofErr w:type="spellEnd"/>
      <w:r w:rsidR="00F86375" w:rsidRPr="0077280F">
        <w:rPr>
          <w:rFonts w:ascii="Arial" w:hAnsi="Arial" w:cs="Arial"/>
          <w:color w:val="000000"/>
          <w:sz w:val="20"/>
          <w:szCs w:val="20"/>
        </w:rPr>
        <w:t xml:space="preserve"> por </w:t>
      </w:r>
      <w:r w:rsidR="006309F9">
        <w:rPr>
          <w:rFonts w:ascii="Arial" w:hAnsi="Arial" w:cs="Arial"/>
          <w:color w:val="000000"/>
          <w:sz w:val="20"/>
          <w:szCs w:val="20"/>
        </w:rPr>
        <w:t xml:space="preserve">__________________, </w:t>
      </w:r>
      <w:proofErr w:type="gramStart"/>
      <w:r w:rsidR="00F86375" w:rsidRPr="0077280F"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 w:rsidR="00F86375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F8637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DD/MM/AA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F86375" w:rsidRPr="0077280F">
        <w:rPr>
          <w:rFonts w:ascii="Arial" w:hAnsi="Arial" w:cs="Arial"/>
          <w:color w:val="000000"/>
          <w:sz w:val="20"/>
          <w:szCs w:val="20"/>
        </w:rPr>
        <w:t xml:space="preserve">. </w:t>
      </w:r>
      <w:r w:rsidR="00F8637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F8637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Indicar, se for o caso, se a decisão/deliberação foi tomada no uso de delegação ou subdelegação de competências, a qualidade em que aquele decidiu, com menção das decisões de delegação ou subdelegação e do local da </w:t>
      </w:r>
      <w:proofErr w:type="spellStart"/>
      <w:r w:rsidR="00F8637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respetiva</w:t>
      </w:r>
      <w:proofErr w:type="spellEnd"/>
      <w:r w:rsidR="00F8637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publicação</w:t>
      </w:r>
      <w:r w:rsidR="00F86375"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]  </w:t>
      </w:r>
    </w:p>
    <w:p w14:paraId="6C65BF00" w14:textId="77777777" w:rsidR="00F86375" w:rsidRPr="0077280F" w:rsidRDefault="00F86375" w:rsidP="0077280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5D448F" w14:textId="77777777" w:rsidR="006309F9" w:rsidRDefault="00F86375" w:rsidP="00630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III – PROCEDIMENTO DE AQUISIÇÃO </w:t>
      </w:r>
    </w:p>
    <w:p w14:paraId="131BE89C" w14:textId="58E61184" w:rsidR="006309F9" w:rsidRDefault="00F86375" w:rsidP="00630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O presente convite é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efetuado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ao abrigo do “</w:t>
      </w:r>
      <w:r w:rsidR="00384675" w:rsidRPr="0077280F">
        <w:rPr>
          <w:rFonts w:ascii="Arial" w:hAnsi="Arial" w:cs="Arial"/>
          <w:color w:val="000000"/>
          <w:sz w:val="20"/>
          <w:szCs w:val="20"/>
        </w:rPr>
        <w:t>do Acordo</w:t>
      </w:r>
      <w:r w:rsidR="00384675">
        <w:rPr>
          <w:rFonts w:ascii="Arial" w:hAnsi="Arial" w:cs="Arial"/>
          <w:color w:val="000000"/>
          <w:sz w:val="20"/>
          <w:szCs w:val="20"/>
        </w:rPr>
        <w:t>-</w:t>
      </w:r>
      <w:r w:rsidR="00384675" w:rsidRPr="0077280F">
        <w:rPr>
          <w:rFonts w:ascii="Arial" w:hAnsi="Arial" w:cs="Arial"/>
          <w:color w:val="000000"/>
          <w:sz w:val="20"/>
          <w:szCs w:val="20"/>
        </w:rPr>
        <w:t xml:space="preserve">Quadro </w:t>
      </w:r>
      <w:r w:rsidR="00384675" w:rsidRPr="00384675">
        <w:rPr>
          <w:rFonts w:ascii="Arial" w:hAnsi="Arial" w:cs="Arial"/>
          <w:sz w:val="20"/>
          <w:szCs w:val="20"/>
        </w:rPr>
        <w:t>para a prestação de serviços</w:t>
      </w:r>
      <w:r w:rsidR="00384675">
        <w:rPr>
          <w:rFonts w:ascii="Arial" w:hAnsi="Arial" w:cs="Arial"/>
          <w:sz w:val="20"/>
          <w:szCs w:val="20"/>
        </w:rPr>
        <w:t xml:space="preserve"> </w:t>
      </w:r>
      <w:r w:rsidR="00384675" w:rsidRPr="00384675">
        <w:rPr>
          <w:rFonts w:ascii="Arial" w:hAnsi="Arial" w:cs="Arial"/>
          <w:color w:val="000000"/>
          <w:sz w:val="20"/>
          <w:szCs w:val="20"/>
        </w:rPr>
        <w:t>e fornecimento de consumíveis de higiene e limpeza</w:t>
      </w:r>
      <w:r w:rsidR="00837723" w:rsidRPr="0077280F">
        <w:rPr>
          <w:rFonts w:ascii="Arial" w:hAnsi="Arial" w:cs="Arial"/>
          <w:color w:val="000000"/>
          <w:sz w:val="20"/>
          <w:szCs w:val="20"/>
        </w:rPr>
        <w:t>”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 da Central de Compras da</w:t>
      </w:r>
      <w:r w:rsidR="006309F9">
        <w:rPr>
          <w:rFonts w:ascii="Arial" w:hAnsi="Arial" w:cs="Arial"/>
          <w:color w:val="000000"/>
          <w:sz w:val="20"/>
          <w:szCs w:val="20"/>
        </w:rPr>
        <w:t xml:space="preserve"> Comunidade Intermunicipal d</w:t>
      </w:r>
      <w:r w:rsidR="0007212D">
        <w:rPr>
          <w:rFonts w:ascii="Arial" w:hAnsi="Arial" w:cs="Arial"/>
          <w:color w:val="000000"/>
          <w:sz w:val="20"/>
          <w:szCs w:val="20"/>
        </w:rPr>
        <w:t>o Algarve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nos termos do artigo 259.º do Código dos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Contratos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Públicos (CCP), aplicando-se-lhe, em tudo o que não estiver especialmente regulado, as disposições do caderno de encargos do</w:t>
      </w:r>
      <w:r w:rsidR="006309F9">
        <w:rPr>
          <w:rFonts w:ascii="Arial" w:hAnsi="Arial" w:cs="Arial"/>
          <w:color w:val="000000"/>
          <w:sz w:val="20"/>
          <w:szCs w:val="20"/>
        </w:rPr>
        <w:t xml:space="preserve"> referido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Acordo</w:t>
      </w:r>
      <w:r w:rsidR="006309F9">
        <w:rPr>
          <w:rFonts w:ascii="Arial" w:hAnsi="Arial" w:cs="Arial"/>
          <w:color w:val="000000"/>
          <w:sz w:val="20"/>
          <w:szCs w:val="20"/>
        </w:rPr>
        <w:t>-</w:t>
      </w:r>
      <w:r w:rsidRPr="0077280F">
        <w:rPr>
          <w:rFonts w:ascii="Arial" w:hAnsi="Arial" w:cs="Arial"/>
          <w:color w:val="000000"/>
          <w:sz w:val="20"/>
          <w:szCs w:val="20"/>
        </w:rPr>
        <w:t>Quadro.</w:t>
      </w:r>
    </w:p>
    <w:p w14:paraId="30B7672A" w14:textId="77777777" w:rsidR="006309F9" w:rsidRDefault="006309F9" w:rsidP="00630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54976E" w14:textId="77777777" w:rsidR="008D33DB" w:rsidRPr="0077280F" w:rsidRDefault="008D33D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423EAA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IV – DOCUMENTOS EXIGIDOS </w:t>
      </w:r>
    </w:p>
    <w:p w14:paraId="316AC238" w14:textId="77777777" w:rsidR="008D33DB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1. Declaração de aceitação do conteúdo do caderno de encargos, elaborada em conformidade com o modelo constante do Anexo I do CCP. </w:t>
      </w:r>
    </w:p>
    <w:p w14:paraId="67A9BC9A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Proposta de preço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elabora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da em conformidade com o anexo __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a este convite</w:t>
      </w:r>
      <w:r w:rsidR="00CB444E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, caso não opte pela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negociação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5B54D1D" w14:textId="77777777" w:rsidR="00F86375" w:rsidRPr="0077280F" w:rsidRDefault="00F86375" w:rsidP="0077280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lastRenderedPageBreak/>
        <w:t xml:space="preserve">3. A proposta deve indicar os seguintes elementos: </w:t>
      </w:r>
    </w:p>
    <w:p w14:paraId="475C4453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a) Acréscimo de IVA à taxa legal em vigor aos preços apresentados; </w:t>
      </w:r>
    </w:p>
    <w:p w14:paraId="39B6087B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b) A informação técnica necessária para a avaliação das propostas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177038D8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c) Dados referentes à assistência técnica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74167FF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d) Prazos de entrega/ execução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3F7DF3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outros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5CFA4BA" w14:textId="77777777" w:rsidR="008D33DB" w:rsidRPr="0077280F" w:rsidRDefault="008D33DB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29EF380E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4. 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Outros documentos que possam ser exigidos em função do </w:t>
      </w:r>
      <w:proofErr w:type="spellStart"/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objeto</w:t>
      </w:r>
      <w:proofErr w:type="spellEnd"/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do procedimento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]. </w:t>
      </w:r>
    </w:p>
    <w:p w14:paraId="59464BAC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D1F679" w14:textId="77777777" w:rsidR="00CB444E" w:rsidRPr="0077280F" w:rsidRDefault="00CB444E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E97CDD" w14:textId="77777777" w:rsidR="008D33DB" w:rsidRPr="0077280F" w:rsidRDefault="008D33DB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7FC54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V – PRAZO E MODO DE APRESENTAÇÃO DA PROPOSTA </w:t>
      </w:r>
    </w:p>
    <w:p w14:paraId="19481EC0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1. O formulário de resposta ao presente convite encontra-se disponível no </w:t>
      </w:r>
      <w:r w:rsidR="006309F9">
        <w:rPr>
          <w:rFonts w:ascii="Arial" w:hAnsi="Arial" w:cs="Arial"/>
          <w:color w:val="000000"/>
          <w:sz w:val="20"/>
          <w:szCs w:val="20"/>
        </w:rPr>
        <w:t>A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nexo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designação do anexo no qual se envia o formulário de resposta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ED06584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As propostas, bem como os documentos que as acompanham, devem ser apresentadas até às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horas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do dia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Dia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Mês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Ano</w:t>
      </w:r>
      <w:r w:rsidR="008D33D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na plataforma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eletrónica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com endereço </w:t>
      </w:r>
      <w:r w:rsidR="008D33DB" w:rsidRPr="0077280F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309F9">
        <w:rPr>
          <w:rFonts w:ascii="Arial" w:hAnsi="Arial" w:cs="Arial"/>
          <w:color w:val="548DD4" w:themeColor="text2" w:themeTint="99"/>
          <w:sz w:val="20"/>
          <w:szCs w:val="20"/>
        </w:rPr>
        <w:t xml:space="preserve">se aplicável, 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endereço </w:t>
      </w:r>
      <w:proofErr w:type="spellStart"/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eletrónico</w:t>
      </w:r>
      <w:proofErr w:type="spellEnd"/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da plataforma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>.</w:t>
      </w:r>
    </w:p>
    <w:p w14:paraId="1BD37AE2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B1DE262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4827881" w14:textId="77777777" w:rsidR="00D641F5" w:rsidRPr="006309F9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VI – CAUÇÃO </w:t>
      </w:r>
    </w:p>
    <w:p w14:paraId="7C55E1D3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1. O adjudicatário deve prestar, no prazo de 10 dias a contar da notificação de adjudicação, uma caução no valor </w:t>
      </w:r>
      <w:proofErr w:type="gramStart"/>
      <w:r w:rsidRPr="007728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6309F9">
        <w:rPr>
          <w:rFonts w:ascii="Arial" w:hAnsi="Arial" w:cs="Arial"/>
          <w:color w:val="000000"/>
          <w:sz w:val="20"/>
          <w:szCs w:val="20"/>
        </w:rPr>
        <w:t>__</w:t>
      </w:r>
      <w:r w:rsidRPr="0077280F">
        <w:rPr>
          <w:rFonts w:ascii="Arial" w:hAnsi="Arial" w:cs="Arial"/>
          <w:color w:val="000000"/>
          <w:sz w:val="20"/>
          <w:szCs w:val="20"/>
        </w:rPr>
        <w:t>% do</w:t>
      </w:r>
      <w:proofErr w:type="gramEnd"/>
      <w:r w:rsidRPr="0077280F">
        <w:rPr>
          <w:rFonts w:ascii="Arial" w:hAnsi="Arial" w:cs="Arial"/>
          <w:color w:val="000000"/>
          <w:sz w:val="20"/>
          <w:szCs w:val="20"/>
        </w:rPr>
        <w:t xml:space="preserve"> preço contratual</w:t>
      </w:r>
      <w:r w:rsidR="006309F9">
        <w:rPr>
          <w:rFonts w:ascii="Arial" w:hAnsi="Arial" w:cs="Arial"/>
          <w:color w:val="000000"/>
          <w:sz w:val="20"/>
          <w:szCs w:val="20"/>
        </w:rPr>
        <w:t xml:space="preserve"> </w:t>
      </w:r>
      <w:r w:rsidR="006309F9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309F9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no máximo 5% do preço contratual</w:t>
      </w:r>
      <w:r w:rsidR="006309F9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destinada a garantir a celebração do contrato, bem como o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exato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e pontual cumprimento de todas as obrigações legais e contratuais. </w:t>
      </w:r>
    </w:p>
    <w:p w14:paraId="05C54A40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A caução referida no número anterior deve ser prestada: </w:t>
      </w:r>
    </w:p>
    <w:p w14:paraId="7CBE309E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a) Por depósito em dinheiro ou em títulos emitidos ou garantidos pelo Estado Português, nos termos do modelo constante do anexo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designação do anexo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75C2685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b) Mediante garantia bancária ou seguro-caução, nos termos dos modelos constantes dos anexos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designações dos anexos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>.</w:t>
      </w:r>
    </w:p>
    <w:p w14:paraId="153E7F61" w14:textId="77777777" w:rsidR="006309F9" w:rsidRDefault="006309F9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A97585" w14:textId="77777777" w:rsidR="006309F9" w:rsidRPr="0077280F" w:rsidRDefault="006309F9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0E3B85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VII – NEGOCIAÇÃO </w:t>
      </w:r>
      <w:r w:rsidR="006309F9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309F9">
        <w:rPr>
          <w:rFonts w:ascii="Arial" w:hAnsi="Arial" w:cs="Arial"/>
          <w:color w:val="548DD4" w:themeColor="text2" w:themeTint="99"/>
          <w:sz w:val="20"/>
          <w:szCs w:val="20"/>
        </w:rPr>
        <w:t>Se aplicável</w:t>
      </w:r>
      <w:r w:rsidR="006309F9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5E0E2CBD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1. A negociação decorrerá </w:t>
      </w:r>
      <w:r w:rsidRPr="006309F9">
        <w:rPr>
          <w:rFonts w:ascii="Arial" w:hAnsi="Arial" w:cs="Arial"/>
          <w:color w:val="000000"/>
          <w:sz w:val="20"/>
          <w:szCs w:val="20"/>
          <w:u w:val="single"/>
        </w:rPr>
        <w:t>presencialmente</w:t>
      </w:r>
      <w:r w:rsidR="00D641F5" w:rsidRPr="006309F9">
        <w:rPr>
          <w:rFonts w:ascii="Arial" w:hAnsi="Arial" w:cs="Arial"/>
          <w:color w:val="000000"/>
          <w:sz w:val="20"/>
          <w:szCs w:val="20"/>
          <w:u w:val="single"/>
        </w:rPr>
        <w:t>/</w:t>
      </w:r>
      <w:proofErr w:type="spellStart"/>
      <w:r w:rsidR="00D641F5" w:rsidRPr="006309F9">
        <w:rPr>
          <w:rFonts w:ascii="Arial" w:hAnsi="Arial" w:cs="Arial"/>
          <w:color w:val="000000"/>
          <w:sz w:val="20"/>
          <w:szCs w:val="20"/>
          <w:u w:val="single"/>
        </w:rPr>
        <w:t>eletronicamente</w:t>
      </w:r>
      <w:proofErr w:type="spellEnd"/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6309F9">
        <w:rPr>
          <w:rFonts w:ascii="Arial" w:hAnsi="Arial" w:cs="Arial"/>
          <w:i/>
          <w:color w:val="548DD4" w:themeColor="text2" w:themeTint="99"/>
          <w:sz w:val="20"/>
          <w:szCs w:val="20"/>
        </w:rPr>
        <w:t>escolher a opção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no seguinte endereço </w:t>
      </w:r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indicação do endereço</w:t>
      </w:r>
      <w:r w:rsidR="00947262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, se opção </w:t>
      </w:r>
      <w:proofErr w:type="spellStart"/>
      <w:r w:rsidR="00947262">
        <w:rPr>
          <w:rFonts w:ascii="Arial" w:hAnsi="Arial" w:cs="Arial"/>
          <w:i/>
          <w:color w:val="548DD4" w:themeColor="text2" w:themeTint="99"/>
          <w:sz w:val="20"/>
          <w:szCs w:val="20"/>
        </w:rPr>
        <w:t>eletrónica</w:t>
      </w:r>
      <w:proofErr w:type="spellEnd"/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no dia </w:t>
      </w:r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__ 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Dia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de</w:t>
      </w:r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 _____ 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Mês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______ 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Ano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pelas </w:t>
      </w:r>
      <w:r w:rsidR="00D641F5" w:rsidRPr="0077280F">
        <w:rPr>
          <w:rFonts w:ascii="Arial" w:hAnsi="Arial" w:cs="Arial"/>
          <w:color w:val="000000"/>
          <w:sz w:val="20"/>
          <w:szCs w:val="20"/>
        </w:rPr>
        <w:t xml:space="preserve">__ 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D641F5"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Horas</w:t>
      </w:r>
      <w:r w:rsidR="00D641F5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nos termos dos artigos 119.º a 121.º do CCP. </w:t>
      </w:r>
    </w:p>
    <w:p w14:paraId="60D73D2D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Indicar quais os </w:t>
      </w:r>
      <w:proofErr w:type="spellStart"/>
      <w:r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aspetos</w:t>
      </w:r>
      <w:proofErr w:type="spellEnd"/>
      <w:r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da execução do contrato a celebrar que a entidade adjudicante está disposta a negociar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3C52E47A" w14:textId="77777777" w:rsidR="00F86375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4A2D4C" w14:textId="77777777" w:rsidR="00384675" w:rsidRDefault="003846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25A34E" w14:textId="77777777" w:rsidR="00384675" w:rsidRPr="0077280F" w:rsidRDefault="003846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140332" w14:textId="77777777" w:rsidR="00D641F5" w:rsidRPr="0077280F" w:rsidRDefault="00D641F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CB7E10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VIII – CRITÉRIO DE ADJUDICAÇÃO </w:t>
      </w:r>
    </w:p>
    <w:p w14:paraId="36B0110B" w14:textId="77777777" w:rsidR="00AB1A87" w:rsidRDefault="00947262" w:rsidP="0077280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adjudicação é feita pelo critério da proposta economicamente mais vantajosa, por lotes, segundo as seguintes modalidades:</w:t>
      </w:r>
    </w:p>
    <w:p w14:paraId="1B8A95AF" w14:textId="305B8E82" w:rsidR="00947262" w:rsidRDefault="00384675" w:rsidP="0077280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Monofator</w:t>
      </w:r>
      <w:proofErr w:type="spellEnd"/>
      <w:r w:rsidR="00947262">
        <w:rPr>
          <w:rFonts w:ascii="Arial" w:hAnsi="Arial" w:cs="Arial"/>
          <w:color w:val="000000"/>
          <w:sz w:val="20"/>
          <w:szCs w:val="20"/>
        </w:rPr>
        <w:t>;</w:t>
      </w:r>
    </w:p>
    <w:p w14:paraId="2E9D2761" w14:textId="77777777" w:rsidR="00947262" w:rsidRDefault="00947262" w:rsidP="00947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FC6EAE" w14:textId="77777777" w:rsidR="00947262" w:rsidRPr="0077280F" w:rsidRDefault="00947262" w:rsidP="00947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Ou</w:t>
      </w:r>
    </w:p>
    <w:p w14:paraId="382EFD20" w14:textId="77777777" w:rsidR="00947262" w:rsidRPr="00947262" w:rsidRDefault="00947262" w:rsidP="009472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B18E63" w14:textId="5017F75E" w:rsidR="00AB1A87" w:rsidRPr="00947262" w:rsidRDefault="00384675" w:rsidP="0077280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Multifator</w:t>
      </w:r>
      <w:proofErr w:type="spellEnd"/>
      <w:r w:rsidR="00947262">
        <w:rPr>
          <w:rFonts w:ascii="Arial" w:hAnsi="Arial" w:cs="Arial"/>
          <w:color w:val="000000"/>
          <w:sz w:val="20"/>
          <w:szCs w:val="20"/>
        </w:rPr>
        <w:t>;</w:t>
      </w:r>
    </w:p>
    <w:p w14:paraId="1FB05D09" w14:textId="77777777" w:rsidR="00AB1A87" w:rsidRPr="0077280F" w:rsidRDefault="00AB1A87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EDD97E" w14:textId="00C52E65" w:rsidR="00947262" w:rsidRPr="00947262" w:rsidRDefault="00947262" w:rsidP="009472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947262">
        <w:rPr>
          <w:rFonts w:ascii="Arial" w:hAnsi="Arial" w:cs="Arial"/>
          <w:color w:val="548DD4" w:themeColor="text2" w:themeTint="99"/>
          <w:sz w:val="20"/>
          <w:szCs w:val="20"/>
        </w:rPr>
        <w:t xml:space="preserve">A adjudicação </w:t>
      </w:r>
      <w:r w:rsidR="003D1E49"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segundo o critério da proposta da proposta economicamente mais vantajosa na modalidade </w:t>
      </w:r>
      <w:proofErr w:type="spellStart"/>
      <w:r w:rsidR="003D1E49" w:rsidRPr="003D1E49">
        <w:rPr>
          <w:rFonts w:ascii="Arial" w:hAnsi="Arial" w:cs="Arial"/>
          <w:color w:val="548DD4" w:themeColor="text2" w:themeTint="99"/>
          <w:sz w:val="20"/>
          <w:szCs w:val="20"/>
        </w:rPr>
        <w:t>multifator</w:t>
      </w:r>
      <w:proofErr w:type="spellEnd"/>
      <w:r w:rsidR="003D1E49"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, para qualquer dos lotes, tem em conta os </w:t>
      </w:r>
      <w:proofErr w:type="spellStart"/>
      <w:r w:rsidR="003D1E49" w:rsidRPr="003D1E49">
        <w:rPr>
          <w:rFonts w:ascii="Arial" w:hAnsi="Arial" w:cs="Arial"/>
          <w:color w:val="548DD4" w:themeColor="text2" w:themeTint="99"/>
          <w:sz w:val="20"/>
          <w:szCs w:val="20"/>
        </w:rPr>
        <w:t>fatores</w:t>
      </w:r>
      <w:proofErr w:type="spellEnd"/>
      <w:r w:rsidR="003D1E49"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 que melhor se adequam, designadamente os seguintes</w:t>
      </w:r>
      <w:r w:rsidRPr="00947262">
        <w:rPr>
          <w:rFonts w:ascii="Arial" w:hAnsi="Arial" w:cs="Arial"/>
          <w:color w:val="548DD4" w:themeColor="text2" w:themeTint="99"/>
          <w:sz w:val="20"/>
          <w:szCs w:val="20"/>
        </w:rPr>
        <w:t>:</w:t>
      </w:r>
    </w:p>
    <w:p w14:paraId="15DDD009" w14:textId="77777777" w:rsidR="003D1E49" w:rsidRDefault="00947262" w:rsidP="003D1E49">
      <w:pPr>
        <w:numPr>
          <w:ilvl w:val="2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947262">
        <w:rPr>
          <w:rFonts w:ascii="Arial" w:hAnsi="Arial" w:cs="Arial"/>
          <w:color w:val="548DD4" w:themeColor="text2" w:themeTint="99"/>
          <w:sz w:val="20"/>
          <w:szCs w:val="20"/>
        </w:rPr>
        <w:t xml:space="preserve">Preço, com ponderação mínima de </w:t>
      </w:r>
      <w:r w:rsidR="003D1E49">
        <w:rPr>
          <w:rFonts w:ascii="Arial" w:hAnsi="Arial" w:cs="Arial"/>
          <w:color w:val="548DD4" w:themeColor="text2" w:themeTint="99"/>
          <w:sz w:val="20"/>
          <w:szCs w:val="20"/>
        </w:rPr>
        <w:t>6</w:t>
      </w:r>
      <w:r w:rsidRPr="00947262">
        <w:rPr>
          <w:rFonts w:ascii="Arial" w:hAnsi="Arial" w:cs="Arial"/>
          <w:color w:val="548DD4" w:themeColor="text2" w:themeTint="99"/>
          <w:sz w:val="20"/>
          <w:szCs w:val="20"/>
        </w:rPr>
        <w:t>0% (se</w:t>
      </w:r>
      <w:r w:rsidR="003D1E49">
        <w:rPr>
          <w:rFonts w:ascii="Arial" w:hAnsi="Arial" w:cs="Arial"/>
          <w:color w:val="548DD4" w:themeColor="text2" w:themeTint="99"/>
          <w:sz w:val="20"/>
          <w:szCs w:val="20"/>
        </w:rPr>
        <w:t>ssenta</w:t>
      </w:r>
      <w:r w:rsidRPr="00947262">
        <w:rPr>
          <w:rFonts w:ascii="Arial" w:hAnsi="Arial" w:cs="Arial"/>
          <w:color w:val="548DD4" w:themeColor="text2" w:themeTint="99"/>
          <w:sz w:val="20"/>
          <w:szCs w:val="20"/>
        </w:rPr>
        <w:t xml:space="preserve"> por cento);</w:t>
      </w:r>
    </w:p>
    <w:p w14:paraId="2C972ABB" w14:textId="77777777" w:rsidR="003D1E49" w:rsidRPr="003D1E49" w:rsidRDefault="00384675" w:rsidP="003D1E49">
      <w:pPr>
        <w:numPr>
          <w:ilvl w:val="2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Qualidade do serviço;</w:t>
      </w:r>
    </w:p>
    <w:p w14:paraId="3D296AB4" w14:textId="77777777" w:rsidR="003D1E49" w:rsidRPr="003D1E49" w:rsidRDefault="00384675" w:rsidP="003D1E49">
      <w:pPr>
        <w:numPr>
          <w:ilvl w:val="2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Requisitos ambientais;</w:t>
      </w:r>
    </w:p>
    <w:p w14:paraId="58CE54FC" w14:textId="0AE2E2F4" w:rsidR="00384675" w:rsidRPr="003D1E49" w:rsidRDefault="00384675" w:rsidP="003D1E49">
      <w:pPr>
        <w:numPr>
          <w:ilvl w:val="2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Considerações de natureza social.</w:t>
      </w:r>
    </w:p>
    <w:p w14:paraId="63DA3DC0" w14:textId="77777777" w:rsidR="003D1E49" w:rsidRDefault="00384675" w:rsidP="003D1E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Na avaliação do </w:t>
      </w:r>
      <w:proofErr w:type="spellStart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fator</w:t>
      </w:r>
      <w:proofErr w:type="spellEnd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 preço, previsto em i) do n.º 2 da presente cláusula, a entidade adquirente poderá incluir ponderadores para os diversos preços unitários, de acordo com o seu perfil de consumo, entre outros. </w:t>
      </w:r>
    </w:p>
    <w:p w14:paraId="3BD60D5C" w14:textId="6B4C2953" w:rsidR="00384675" w:rsidRPr="003D1E49" w:rsidRDefault="00384675" w:rsidP="003D1E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Para efeitos da avaliação da qualidade do serviço, previsto em ii) do n.º 2 da presente cláusula, poderá ser valorizado:</w:t>
      </w:r>
    </w:p>
    <w:p w14:paraId="1DCB4F13" w14:textId="77777777" w:rsidR="00384675" w:rsidRPr="003D1E49" w:rsidRDefault="00384675" w:rsidP="00384675">
      <w:pPr>
        <w:pStyle w:val="Default"/>
        <w:widowControl w:val="0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Mecanismos de controlo de qualidade, designadamente a adequação dos processos, dos meios de limpeza e dos produtos propostos à realidade da entidade adquirente;</w:t>
      </w:r>
    </w:p>
    <w:p w14:paraId="1BA55EC7" w14:textId="77777777" w:rsidR="00384675" w:rsidRPr="003D1E49" w:rsidRDefault="00384675" w:rsidP="00384675">
      <w:pPr>
        <w:pStyle w:val="Default"/>
        <w:widowControl w:val="0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Frequência de supervisão para o lote 1, 3, 4 e 6;</w:t>
      </w:r>
    </w:p>
    <w:p w14:paraId="3231A7B9" w14:textId="77777777" w:rsidR="00384675" w:rsidRPr="003D1E49" w:rsidRDefault="00384675" w:rsidP="00384675">
      <w:pPr>
        <w:pStyle w:val="Default"/>
        <w:widowControl w:val="0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Certificações que possibilitem melhor adequação funcional da oferta face à necessidade da entidade adquirente, entre outros;</w:t>
      </w:r>
    </w:p>
    <w:p w14:paraId="35FC3D39" w14:textId="77777777" w:rsidR="00384675" w:rsidRPr="003D1E49" w:rsidRDefault="00384675" w:rsidP="00384675">
      <w:pPr>
        <w:pStyle w:val="Default"/>
        <w:widowControl w:val="0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 xml:space="preserve">Valoração de propostas que destaquem </w:t>
      </w:r>
      <w:proofErr w:type="spellStart"/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aspetos</w:t>
      </w:r>
      <w:proofErr w:type="spellEnd"/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 xml:space="preserve"> de natureza ambiental, nomeadamente:</w:t>
      </w:r>
    </w:p>
    <w:p w14:paraId="28C58575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Utilização de materiais certificados, ecológicos ou reciclados;</w:t>
      </w:r>
    </w:p>
    <w:p w14:paraId="3C9D9380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Utilização de produtos com rotulagem ecológica;</w:t>
      </w:r>
    </w:p>
    <w:p w14:paraId="04305F9C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Utilização de produtos de limpeza concentrados;</w:t>
      </w:r>
    </w:p>
    <w:p w14:paraId="4ED0896F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Utilização de equipamentos com maior eficiência energética</w:t>
      </w:r>
    </w:p>
    <w:p w14:paraId="31355625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Recolha e reciclagem dos resíduos;</w:t>
      </w:r>
    </w:p>
    <w:p w14:paraId="663695B7" w14:textId="77777777" w:rsidR="00384675" w:rsidRPr="003D1E49" w:rsidRDefault="00384675" w:rsidP="00384675">
      <w:pPr>
        <w:pStyle w:val="Default"/>
        <w:widowControl w:val="0"/>
        <w:numPr>
          <w:ilvl w:val="1"/>
          <w:numId w:val="10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Circuitos curtos de distribuição.</w:t>
      </w:r>
    </w:p>
    <w:p w14:paraId="4903D851" w14:textId="77777777" w:rsidR="003D1E49" w:rsidRDefault="00384675" w:rsidP="003D1E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Para efeitos da avaliação dos requisitos ambientais poderá destacar os mais diversos </w:t>
      </w:r>
      <w:proofErr w:type="spellStart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aspetos</w:t>
      </w:r>
      <w:proofErr w:type="spellEnd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, nomeadamente a recolha dos resíduos com posterior encaminhamento para tratamento e/ou reciclagem e a utilização de materiais ecológicos e utilização de produtos de limpeza produzidos em conformidade com requisitos de rótulo ecológicos;</w:t>
      </w:r>
    </w:p>
    <w:p w14:paraId="30360A32" w14:textId="6FBD376A" w:rsidR="00384675" w:rsidRPr="003D1E49" w:rsidRDefault="00384675" w:rsidP="003D1E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lastRenderedPageBreak/>
        <w:t xml:space="preserve">Para efeitos de avaliação das considerações de natureza social poderá valorizar a </w:t>
      </w:r>
      <w:proofErr w:type="spellStart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afetação</w:t>
      </w:r>
      <w:proofErr w:type="spellEnd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 xml:space="preserve"> à prestação do serviço </w:t>
      </w:r>
      <w:proofErr w:type="gramStart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de</w:t>
      </w:r>
      <w:proofErr w:type="gramEnd"/>
      <w:r w:rsidRPr="003D1E49">
        <w:rPr>
          <w:rFonts w:ascii="Arial" w:hAnsi="Arial" w:cs="Arial"/>
          <w:color w:val="548DD4" w:themeColor="text2" w:themeTint="99"/>
          <w:sz w:val="20"/>
          <w:szCs w:val="20"/>
        </w:rPr>
        <w:t>:</w:t>
      </w:r>
    </w:p>
    <w:p w14:paraId="2431F74F" w14:textId="77777777" w:rsidR="00384675" w:rsidRPr="003D1E49" w:rsidRDefault="00384675" w:rsidP="00384675">
      <w:pPr>
        <w:pStyle w:val="Defaul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Pessoas com níveis de deficiência a definir em sede de convite;</w:t>
      </w:r>
    </w:p>
    <w:p w14:paraId="2BE94EB1" w14:textId="77777777" w:rsidR="00384675" w:rsidRPr="003D1E49" w:rsidRDefault="00384675" w:rsidP="00384675">
      <w:pPr>
        <w:pStyle w:val="Defaul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 xml:space="preserve">Programas de conciliação da vida profissional com a vida familiar e pessoal de todos os trabalhadores </w:t>
      </w:r>
      <w:proofErr w:type="spellStart"/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afetos</w:t>
      </w:r>
      <w:proofErr w:type="spellEnd"/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 xml:space="preserve"> à execução do contrato;</w:t>
      </w:r>
    </w:p>
    <w:p w14:paraId="307CB099" w14:textId="77777777" w:rsidR="00384675" w:rsidRPr="003D1E49" w:rsidRDefault="00384675" w:rsidP="00384675">
      <w:pPr>
        <w:pStyle w:val="Defaul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3D1E49">
        <w:rPr>
          <w:rFonts w:ascii="Arial" w:eastAsiaTheme="minorHAnsi" w:hAnsi="Arial" w:cs="Arial"/>
          <w:color w:val="548DD4" w:themeColor="text2" w:themeTint="99"/>
          <w:sz w:val="20"/>
          <w:szCs w:val="20"/>
        </w:rPr>
        <w:t>Aplicação de medidas de promoção da igualdade de género e da igualdade salarial no trabalho</w:t>
      </w:r>
    </w:p>
    <w:p w14:paraId="6E7A80FE" w14:textId="77777777" w:rsidR="00384675" w:rsidRDefault="003846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A1F5A" w14:textId="77777777" w:rsidR="00384675" w:rsidRPr="0077280F" w:rsidRDefault="003846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E97E58" w14:textId="77777777" w:rsidR="00AB1A87" w:rsidRPr="0077280F" w:rsidRDefault="00AB1A87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A0CADC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IX – DOCUMENTOS DE HABILITAÇÃO </w:t>
      </w:r>
    </w:p>
    <w:p w14:paraId="28935269" w14:textId="77777777" w:rsidR="00812A8C" w:rsidRPr="0077280F" w:rsidRDefault="00812A8C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CD3C9E" w14:textId="77777777" w:rsidR="00F86375" w:rsidRPr="0077280F" w:rsidRDefault="00F86375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>1. O adjudicatári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>o deve apresentar, no prazo de __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indicar o prazo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a contar da notificação da adjudicação, os seguintes documentos comprovativos, ou disponibilização de acesso para a sua consulta </w:t>
      </w:r>
      <w:proofErr w:type="gramStart"/>
      <w:r w:rsidRPr="0077280F">
        <w:rPr>
          <w:rFonts w:ascii="Arial" w:hAnsi="Arial" w:cs="Arial"/>
          <w:i/>
          <w:color w:val="000000"/>
          <w:sz w:val="20"/>
          <w:szCs w:val="20"/>
        </w:rPr>
        <w:t>online</w:t>
      </w:r>
      <w:proofErr w:type="gramEnd"/>
      <w:r w:rsidRPr="0077280F">
        <w:rPr>
          <w:rFonts w:ascii="Arial" w:hAnsi="Arial" w:cs="Arial"/>
          <w:color w:val="000000"/>
          <w:sz w:val="20"/>
          <w:szCs w:val="20"/>
        </w:rPr>
        <w:t xml:space="preserve">, de que se encontra nas seguintes situações: </w:t>
      </w:r>
    </w:p>
    <w:p w14:paraId="7A9B5542" w14:textId="77777777" w:rsidR="00812A8C" w:rsidRPr="0077280F" w:rsidRDefault="00812A8C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22B957" w14:textId="77777777" w:rsidR="00947262" w:rsidRDefault="00F86375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>Situação regularizada relativamente a contribuições para a segurança social em Portugal ou, se for o caso, no Estado de que sejam nacionais ou no qual se situe o seu estabelecimento principal, nos termos da alínea d) do artigo 55.º do CCP;</w:t>
      </w:r>
    </w:p>
    <w:p w14:paraId="332D1BE4" w14:textId="77777777" w:rsidR="00947262" w:rsidRDefault="0041460B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 xml:space="preserve">Situação regularizada relativamente a impostos devidos em Portugal ou, se for o caso, no Estado de que sejam nacionais ou no qual se situe o seu estabelecimento principal, nos termos da alínea e) do artigo 55.º do CCP; </w:t>
      </w:r>
    </w:p>
    <w:p w14:paraId="6493D923" w14:textId="77777777" w:rsidR="00947262" w:rsidRDefault="0041460B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 xml:space="preserve">Certificado de registo criminal, para efeitos de celebração de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contratos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públicos, de todos os titulares dos órgãos sociais da administração,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Direção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ou gerência que se encontrem em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efetividade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de funções, destinado a comprovar que não se encontram em nenhuma das situações previstas nas alíneas b) e i) do artigo 55.º do CCP, não bastando a apresentação de certidões em número equivalente ao das pessoas com poderes para obrigar a sociedade; </w:t>
      </w:r>
    </w:p>
    <w:p w14:paraId="16FDEF5B" w14:textId="77777777" w:rsidR="00947262" w:rsidRDefault="0041460B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 xml:space="preserve">Certificado de inscrição em lista oficial de fornecedores que revele a titularidade das habilitações adequadas e necessárias à execução das prestações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objeto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do acordo quadro a celebrar ou, no caso de não estar inscrito, certificado de inscrição no Registo Nacional de Pessoas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Coletivas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, com todas as inscrições em vigor; </w:t>
      </w:r>
    </w:p>
    <w:p w14:paraId="26D42F28" w14:textId="77777777" w:rsidR="0041460B" w:rsidRDefault="0041460B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 xml:space="preserve">Certidão do registo comercial, com todas as inscrições em vigor, para identificação dos titulares dos órgãos sociais de administração,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Direção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ou gerência que se encontrem</w:t>
      </w:r>
      <w:r w:rsidR="009472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262">
        <w:rPr>
          <w:rFonts w:ascii="Arial" w:hAnsi="Arial" w:cs="Arial"/>
          <w:color w:val="000000"/>
          <w:sz w:val="20"/>
          <w:szCs w:val="20"/>
        </w:rPr>
        <w:t xml:space="preserve">em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efetividade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de funções;  </w:t>
      </w:r>
    </w:p>
    <w:p w14:paraId="3521D4BE" w14:textId="77777777" w:rsidR="00947262" w:rsidRDefault="00947262" w:rsidP="0077280F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7262">
        <w:rPr>
          <w:rFonts w:ascii="Arial" w:hAnsi="Arial" w:cs="Arial"/>
          <w:color w:val="000000"/>
          <w:sz w:val="20"/>
          <w:szCs w:val="20"/>
        </w:rPr>
        <w:t xml:space="preserve">Indicação de gestor de contrato e </w:t>
      </w:r>
      <w:proofErr w:type="spellStart"/>
      <w:r w:rsidRPr="00947262">
        <w:rPr>
          <w:rFonts w:ascii="Arial" w:hAnsi="Arial" w:cs="Arial"/>
          <w:color w:val="000000"/>
          <w:sz w:val="20"/>
          <w:szCs w:val="20"/>
        </w:rPr>
        <w:t>respetivos</w:t>
      </w:r>
      <w:proofErr w:type="spellEnd"/>
      <w:r w:rsidRPr="00947262">
        <w:rPr>
          <w:rFonts w:ascii="Arial" w:hAnsi="Arial" w:cs="Arial"/>
          <w:color w:val="000000"/>
          <w:sz w:val="20"/>
          <w:szCs w:val="20"/>
        </w:rPr>
        <w:t xml:space="preserve"> contactos: </w:t>
      </w:r>
      <w:proofErr w:type="gramStart"/>
      <w:r w:rsidRPr="00947262">
        <w:rPr>
          <w:rFonts w:ascii="Arial" w:hAnsi="Arial" w:cs="Arial"/>
          <w:color w:val="000000"/>
          <w:sz w:val="20"/>
          <w:szCs w:val="20"/>
        </w:rPr>
        <w:t>e-mail</w:t>
      </w:r>
      <w:proofErr w:type="gramEnd"/>
      <w:r w:rsidRPr="00947262">
        <w:rPr>
          <w:rFonts w:ascii="Arial" w:hAnsi="Arial" w:cs="Arial"/>
          <w:color w:val="000000"/>
          <w:sz w:val="20"/>
          <w:szCs w:val="20"/>
        </w:rPr>
        <w:t xml:space="preserve"> e telefone.</w:t>
      </w:r>
    </w:p>
    <w:p w14:paraId="6DEB543D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B927B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Caso sejam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detetadas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irregularidades nos documentos de habilitação entregues pelo adjudicatário nos termos do número anterior, será concedido um prazo adicional de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947262">
        <w:rPr>
          <w:rFonts w:ascii="Arial" w:hAnsi="Arial" w:cs="Arial"/>
          <w:i/>
          <w:color w:val="548DD4" w:themeColor="text2" w:themeTint="99"/>
          <w:sz w:val="20"/>
          <w:szCs w:val="20"/>
        </w:rPr>
        <w:t>Dias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dias úteis destinado ao seu suprimento, conforme o disposto na alínea g) do n.º 1 do artigo 132.º do CCP.</w:t>
      </w:r>
    </w:p>
    <w:p w14:paraId="6EFF6F4B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5D7EC4" w14:textId="77777777" w:rsidR="00812A8C" w:rsidRPr="0077280F" w:rsidRDefault="00812A8C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D4FC0C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 xml:space="preserve">X – OUTORGA DO CONTRATO </w:t>
      </w:r>
    </w:p>
    <w:p w14:paraId="26D61FD8" w14:textId="77777777" w:rsidR="00837723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O contrato resultante do presente procedimento </w:t>
      </w:r>
      <w:r w:rsidR="00837723" w:rsidRPr="0077280F">
        <w:rPr>
          <w:rFonts w:ascii="Arial" w:hAnsi="Arial" w:cs="Arial"/>
          <w:color w:val="000000"/>
          <w:sz w:val="20"/>
          <w:szCs w:val="20"/>
        </w:rPr>
        <w:t xml:space="preserve">está dispensado de redução a escrito nos termos da alínea b) do número 1 do artigo 95º do Código dos </w:t>
      </w:r>
      <w:proofErr w:type="spellStart"/>
      <w:r w:rsidR="00837723" w:rsidRPr="0077280F">
        <w:rPr>
          <w:rFonts w:ascii="Arial" w:hAnsi="Arial" w:cs="Arial"/>
          <w:color w:val="000000"/>
          <w:sz w:val="20"/>
          <w:szCs w:val="20"/>
        </w:rPr>
        <w:t>Contratos</w:t>
      </w:r>
      <w:proofErr w:type="spellEnd"/>
      <w:r w:rsidR="00837723" w:rsidRPr="0077280F">
        <w:rPr>
          <w:rFonts w:ascii="Arial" w:hAnsi="Arial" w:cs="Arial"/>
          <w:color w:val="000000"/>
          <w:sz w:val="20"/>
          <w:szCs w:val="20"/>
        </w:rPr>
        <w:t xml:space="preserve"> Públicos</w:t>
      </w:r>
    </w:p>
    <w:p w14:paraId="7F905FE1" w14:textId="77777777" w:rsidR="00837723" w:rsidRPr="0077280F" w:rsidRDefault="00837723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B46B4" w14:textId="77777777" w:rsidR="00837723" w:rsidRPr="0077280F" w:rsidRDefault="00837723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Ou</w:t>
      </w:r>
    </w:p>
    <w:p w14:paraId="0B944CEC" w14:textId="77777777" w:rsidR="00837723" w:rsidRPr="0077280F" w:rsidRDefault="00837723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57B1EE" w14:textId="77777777" w:rsidR="0041460B" w:rsidRPr="0077280F" w:rsidRDefault="00837723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>Se</w:t>
      </w:r>
      <w:r w:rsidR="0041460B" w:rsidRPr="0077280F">
        <w:rPr>
          <w:rFonts w:ascii="Arial" w:hAnsi="Arial" w:cs="Arial"/>
          <w:color w:val="000000"/>
          <w:sz w:val="20"/>
          <w:szCs w:val="20"/>
        </w:rPr>
        <w:t xml:space="preserve">rá reduzido a escrito em data conveniente para as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>duas partes no prazo máximo de __</w:t>
      </w:r>
      <w:r w:rsidR="0041460B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41460B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41460B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indicar o prazo</w:t>
      </w:r>
      <w:r w:rsidR="0041460B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41460B" w:rsidRPr="0077280F">
        <w:rPr>
          <w:rFonts w:ascii="Arial" w:hAnsi="Arial" w:cs="Arial"/>
          <w:color w:val="000000"/>
          <w:sz w:val="20"/>
          <w:szCs w:val="20"/>
        </w:rPr>
        <w:t xml:space="preserve"> dias após a aceitação da minuta pelo adjudicatário. </w:t>
      </w:r>
    </w:p>
    <w:p w14:paraId="6651DA24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A7962" w14:textId="77777777" w:rsidR="00AB1A87" w:rsidRPr="0077280F" w:rsidRDefault="00AB1A87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7F8A6F" w14:textId="77777777" w:rsidR="00AB1A87" w:rsidRPr="0077280F" w:rsidRDefault="00AB1A87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EE721A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7280F">
        <w:rPr>
          <w:rFonts w:ascii="Arial" w:hAnsi="Arial" w:cs="Arial"/>
          <w:b/>
          <w:bCs/>
          <w:color w:val="000000"/>
          <w:sz w:val="20"/>
          <w:szCs w:val="20"/>
        </w:rPr>
        <w:t>XI – PEDIDOS DE ESCLARECIMENTOS</w:t>
      </w:r>
    </w:p>
    <w:p w14:paraId="2A9C4EFA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8E8624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1. Os pedidos esclarecimentos necessários à boa compreensão e interpretação do presente convite, caderno de encargos e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respetivos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anexos devem ser colocados na plataforma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eletrónica</w:t>
      </w:r>
      <w:proofErr w:type="spellEnd"/>
      <w:r w:rsidRPr="0077280F">
        <w:rPr>
          <w:rFonts w:ascii="Arial" w:hAnsi="Arial" w:cs="Arial"/>
          <w:color w:val="000000"/>
          <w:sz w:val="20"/>
          <w:szCs w:val="20"/>
        </w:rPr>
        <w:t xml:space="preserve"> com endereço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1C3C53">
        <w:rPr>
          <w:rFonts w:ascii="Arial" w:hAnsi="Arial" w:cs="Arial"/>
          <w:color w:val="548DD4" w:themeColor="text2" w:themeTint="99"/>
          <w:sz w:val="20"/>
          <w:szCs w:val="20"/>
        </w:rPr>
        <w:t xml:space="preserve">se aplicável, </w:t>
      </w:r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endereço </w:t>
      </w:r>
      <w:proofErr w:type="spellStart"/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eletrónico</w:t>
      </w:r>
      <w:proofErr w:type="spellEnd"/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da plataforma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até ao dia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Dia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Mês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7280F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77280F">
        <w:rPr>
          <w:rFonts w:ascii="Arial" w:hAnsi="Arial" w:cs="Arial"/>
          <w:color w:val="000000"/>
          <w:sz w:val="20"/>
          <w:szCs w:val="20"/>
        </w:rPr>
        <w:t xml:space="preserve">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_______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A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no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 [</w:t>
      </w:r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prazo corresponde a 1/3 do prazo para apresentação das propostas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BBCEB31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2. Os esclarecimentos serão prestados pelo órgão competente para a decisão de contratar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ou pelo júri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, através da plataforma </w:t>
      </w:r>
      <w:proofErr w:type="spellStart"/>
      <w:r w:rsidRPr="0077280F">
        <w:rPr>
          <w:rFonts w:ascii="Arial" w:hAnsi="Arial" w:cs="Arial"/>
          <w:color w:val="000000"/>
          <w:sz w:val="20"/>
          <w:szCs w:val="20"/>
        </w:rPr>
        <w:t>eletrónica</w:t>
      </w:r>
      <w:proofErr w:type="spellEnd"/>
      <w:r w:rsidR="001C3C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80F">
        <w:rPr>
          <w:rFonts w:ascii="Arial" w:hAnsi="Arial" w:cs="Arial"/>
          <w:color w:val="000000"/>
          <w:sz w:val="20"/>
          <w:szCs w:val="20"/>
        </w:rPr>
        <w:t>referida no número anterior</w:t>
      </w:r>
      <w:r w:rsidR="001C3C53">
        <w:rPr>
          <w:rFonts w:ascii="Arial" w:hAnsi="Arial" w:cs="Arial"/>
          <w:color w:val="000000"/>
          <w:sz w:val="20"/>
          <w:szCs w:val="20"/>
        </w:rPr>
        <w:t xml:space="preserve"> </w:t>
      </w:r>
      <w:r w:rsidR="001C3C53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1C3C53">
        <w:rPr>
          <w:rFonts w:ascii="Arial" w:hAnsi="Arial" w:cs="Arial"/>
          <w:color w:val="548DD4" w:themeColor="text2" w:themeTint="99"/>
          <w:sz w:val="20"/>
          <w:szCs w:val="20"/>
        </w:rPr>
        <w:t xml:space="preserve">se </w:t>
      </w:r>
      <w:proofErr w:type="gramStart"/>
      <w:r w:rsidR="001C3C53">
        <w:rPr>
          <w:rFonts w:ascii="Arial" w:hAnsi="Arial" w:cs="Arial"/>
          <w:color w:val="548DD4" w:themeColor="text2" w:themeTint="99"/>
          <w:sz w:val="20"/>
          <w:szCs w:val="20"/>
        </w:rPr>
        <w:t>aplicável</w:t>
      </w:r>
      <w:r w:rsidR="001C3C53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1C3C53" w:rsidRPr="0077280F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7280F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77280F">
        <w:rPr>
          <w:rFonts w:ascii="Arial" w:hAnsi="Arial" w:cs="Arial"/>
          <w:color w:val="000000"/>
          <w:sz w:val="20"/>
          <w:szCs w:val="20"/>
        </w:rPr>
        <w:t xml:space="preserve"> até ao dia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Dia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] 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de _____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Mês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812A8C" w:rsidRPr="0077280F">
        <w:rPr>
          <w:rFonts w:ascii="Arial" w:hAnsi="Arial" w:cs="Arial"/>
          <w:color w:val="000000"/>
          <w:sz w:val="20"/>
          <w:szCs w:val="20"/>
        </w:rPr>
        <w:t xml:space="preserve"> de _______ 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812A8C"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Ano]</w:t>
      </w:r>
      <w:r w:rsidR="00812A8C" w:rsidRPr="0077280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1C3C53">
        <w:rPr>
          <w:rFonts w:ascii="Arial" w:hAnsi="Arial" w:cs="Arial"/>
          <w:i/>
          <w:color w:val="548DD4" w:themeColor="text2" w:themeTint="99"/>
          <w:sz w:val="20"/>
          <w:szCs w:val="20"/>
        </w:rPr>
        <w:t>prazo corresponde ao 2/3 do prazo para apresentação das propostas</w:t>
      </w:r>
      <w:r w:rsidRPr="0077280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77280F">
        <w:rPr>
          <w:rFonts w:ascii="Arial" w:hAnsi="Arial" w:cs="Arial"/>
          <w:color w:val="000000"/>
          <w:sz w:val="20"/>
          <w:szCs w:val="20"/>
        </w:rPr>
        <w:t xml:space="preserve"> sendo todos os convidados imediatamente notificados desse fato. </w:t>
      </w:r>
    </w:p>
    <w:p w14:paraId="1997A805" w14:textId="77777777" w:rsidR="0041460B" w:rsidRPr="0077280F" w:rsidRDefault="0041460B" w:rsidP="00772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280F">
        <w:rPr>
          <w:rFonts w:ascii="Arial" w:hAnsi="Arial" w:cs="Arial"/>
          <w:color w:val="000000"/>
          <w:sz w:val="20"/>
          <w:szCs w:val="20"/>
        </w:rPr>
        <w:t xml:space="preserve">  </w:t>
      </w:r>
    </w:p>
    <w:sectPr w:rsidR="0041460B" w:rsidRPr="007728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842"/>
    <w:multiLevelType w:val="hybridMultilevel"/>
    <w:tmpl w:val="D9BE0A84"/>
    <w:lvl w:ilvl="0" w:tplc="6A6C3F40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C7CEC1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F1A"/>
    <w:multiLevelType w:val="hybridMultilevel"/>
    <w:tmpl w:val="11A658E8"/>
    <w:lvl w:ilvl="0" w:tplc="10866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256A6"/>
    <w:multiLevelType w:val="hybridMultilevel"/>
    <w:tmpl w:val="B64C29FC"/>
    <w:lvl w:ilvl="0" w:tplc="E496DB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75B04BBC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1BD4E28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816001B">
      <w:start w:val="1"/>
      <w:numFmt w:val="lowerRoman"/>
      <w:lvlText w:val="%4."/>
      <w:lvlJc w:val="righ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C2"/>
    <w:multiLevelType w:val="hybridMultilevel"/>
    <w:tmpl w:val="75EE9AC6"/>
    <w:lvl w:ilvl="0" w:tplc="4538C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072B4"/>
    <w:multiLevelType w:val="hybridMultilevel"/>
    <w:tmpl w:val="4D3EC0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50BCA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1694"/>
    <w:multiLevelType w:val="hybridMultilevel"/>
    <w:tmpl w:val="B3C2AE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7">
      <w:start w:val="1"/>
      <w:numFmt w:val="lowerLetter"/>
      <w:lvlText w:val="%3)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1A1"/>
    <w:multiLevelType w:val="hybridMultilevel"/>
    <w:tmpl w:val="636CB096"/>
    <w:lvl w:ilvl="0" w:tplc="0816001B">
      <w:start w:val="1"/>
      <w:numFmt w:val="lowerRoman"/>
      <w:lvlText w:val="%1."/>
      <w:lvlJc w:val="right"/>
      <w:pPr>
        <w:ind w:left="28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32CEC"/>
    <w:multiLevelType w:val="hybridMultilevel"/>
    <w:tmpl w:val="50C2B902"/>
    <w:lvl w:ilvl="0" w:tplc="AA6A2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EC4C2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A2EEA"/>
    <w:multiLevelType w:val="hybridMultilevel"/>
    <w:tmpl w:val="EE108F16"/>
    <w:lvl w:ilvl="0" w:tplc="4538C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96A728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16001B">
      <w:start w:val="1"/>
      <w:numFmt w:val="lowerRoman"/>
      <w:lvlText w:val="%4."/>
      <w:lvlJc w:val="righ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ED3239"/>
    <w:multiLevelType w:val="hybridMultilevel"/>
    <w:tmpl w:val="FE84B2A8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A53F8"/>
    <w:multiLevelType w:val="hybridMultilevel"/>
    <w:tmpl w:val="1D62BAAC"/>
    <w:lvl w:ilvl="0" w:tplc="D534D5B4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51828"/>
    <w:multiLevelType w:val="hybridMultilevel"/>
    <w:tmpl w:val="93163812"/>
    <w:lvl w:ilvl="0" w:tplc="C894665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5"/>
    <w:rsid w:val="00001014"/>
    <w:rsid w:val="0007212D"/>
    <w:rsid w:val="00110286"/>
    <w:rsid w:val="001C3C53"/>
    <w:rsid w:val="001D5B96"/>
    <w:rsid w:val="002A6047"/>
    <w:rsid w:val="00384675"/>
    <w:rsid w:val="003D1E49"/>
    <w:rsid w:val="0041460B"/>
    <w:rsid w:val="004D3072"/>
    <w:rsid w:val="006309F9"/>
    <w:rsid w:val="0077280F"/>
    <w:rsid w:val="00812A8C"/>
    <w:rsid w:val="00837723"/>
    <w:rsid w:val="008D33DB"/>
    <w:rsid w:val="00947262"/>
    <w:rsid w:val="009E7E75"/>
    <w:rsid w:val="00AB1A87"/>
    <w:rsid w:val="00BD3966"/>
    <w:rsid w:val="00C769E9"/>
    <w:rsid w:val="00CB444E"/>
    <w:rsid w:val="00D641F5"/>
    <w:rsid w:val="00D73552"/>
    <w:rsid w:val="00EB58CF"/>
    <w:rsid w:val="00ED1168"/>
    <w:rsid w:val="00F81F7A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5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1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1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GAMAL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Monteiro</dc:creator>
  <cp:lastModifiedBy>Cristina Godinho</cp:lastModifiedBy>
  <cp:revision>2</cp:revision>
  <dcterms:created xsi:type="dcterms:W3CDTF">2024-02-29T10:35:00Z</dcterms:created>
  <dcterms:modified xsi:type="dcterms:W3CDTF">2024-02-29T10:35:00Z</dcterms:modified>
</cp:coreProperties>
</file>